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E8BD" w14:textId="77777777" w:rsidR="009A1A38" w:rsidRDefault="00000000">
      <w:pPr>
        <w:spacing w:after="0" w:line="240" w:lineRule="auto"/>
        <w:rPr>
          <w:rFonts w:eastAsia="Times New Roman" w:cstheme="minorHAnsi"/>
          <w:b/>
          <w:bCs/>
          <w:color w:val="56597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noProof/>
          <w:color w:val="0070C0"/>
          <w:sz w:val="24"/>
          <w:szCs w:val="24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0FA71480" wp14:editId="45541C69">
            <wp:simplePos x="0" y="0"/>
            <wp:positionH relativeFrom="column">
              <wp:posOffset>-92075</wp:posOffset>
            </wp:positionH>
            <wp:positionV relativeFrom="paragraph">
              <wp:posOffset>184785</wp:posOffset>
            </wp:positionV>
            <wp:extent cx="1772920" cy="2413000"/>
            <wp:effectExtent l="133350" t="152400" r="322580" b="3683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41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color w:val="0070C0"/>
          <w:sz w:val="24"/>
          <w:szCs w:val="24"/>
          <w:lang w:eastAsia="ru-RU"/>
        </w:rPr>
        <w:t>BIONORD UNIVERSAL</w:t>
      </w:r>
    </w:p>
    <w:p w14:paraId="007A7EFE" w14:textId="77777777" w:rsidR="009A1A38" w:rsidRDefault="009A1A38">
      <w:pPr>
        <w:rPr>
          <w:rFonts w:cstheme="minorHAnsi"/>
          <w:sz w:val="24"/>
          <w:szCs w:val="24"/>
        </w:rPr>
      </w:pPr>
    </w:p>
    <w:p w14:paraId="76669210" w14:textId="77777777" w:rsidR="009A1A38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1F3864" w:themeColor="accent1" w:themeShade="8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ru-RU"/>
        </w:rPr>
        <w:t>Универсальный</w:t>
      </w:r>
      <w:r>
        <w:rPr>
          <w:rFonts w:eastAsia="Times New Roman" w:cstheme="minorHAnsi"/>
          <w:color w:val="1F3864" w:themeColor="accent1" w:themeShade="80"/>
          <w:sz w:val="24"/>
          <w:szCs w:val="24"/>
          <w:lang w:eastAsia="ru-RU"/>
        </w:rPr>
        <w:t xml:space="preserve"> противогололедный материал, предназначенный для использования на твердых покрытиях любого типа из асфальта, камня, бетона и плитки. Производство </w:t>
      </w:r>
      <w:bookmarkStart w:id="0" w:name="_Hlk78273981"/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ru-RU"/>
        </w:rPr>
        <w:fldChar w:fldCharType="begin"/>
      </w: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ru-RU"/>
        </w:rPr>
        <w:instrText>HYPERLINK "https://bionord.store/catalog/sredstva-borby-so-ldom/protivogololednyy-reagent-bionord-universal-23-kg/"</w:instrText>
      </w: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ru-RU"/>
        </w:rPr>
      </w: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ru-RU"/>
        </w:rPr>
        <w:fldChar w:fldCharType="separate"/>
      </w:r>
      <w:bookmarkEnd w:id="0"/>
      <w:r>
        <w:rPr>
          <w:rStyle w:val="af9"/>
          <w:rFonts w:eastAsia="Times New Roman" w:cstheme="minorHAnsi"/>
          <w:sz w:val="24"/>
          <w:szCs w:val="24"/>
          <w:lang w:eastAsia="ru-RU"/>
        </w:rPr>
        <w:t xml:space="preserve">BIONORD UNIVERSAL </w:t>
      </w:r>
      <w:r>
        <w:rPr>
          <w:rFonts w:eastAsia="Times New Roman" w:cstheme="minorHAnsi"/>
          <w:b/>
          <w:bCs/>
          <w:color w:val="1F3864" w:themeColor="accent1" w:themeShade="80"/>
          <w:sz w:val="24"/>
          <w:szCs w:val="24"/>
          <w:lang w:eastAsia="ru-RU"/>
        </w:rPr>
        <w:fldChar w:fldCharType="end"/>
      </w:r>
      <w:r>
        <w:rPr>
          <w:rFonts w:eastAsia="Times New Roman" w:cstheme="minorHAnsi"/>
          <w:color w:val="1F3864" w:themeColor="accent1" w:themeShade="80"/>
          <w:sz w:val="24"/>
          <w:szCs w:val="24"/>
          <w:lang w:eastAsia="ru-RU"/>
        </w:rPr>
        <w:t xml:space="preserve">осуществляется по передовой технологии </w:t>
      </w:r>
      <w:hyperlink r:id="rId8" w:tooltip="https://uzpm.ru/single-granule/" w:history="1">
        <w:r>
          <w:rPr>
            <w:rStyle w:val="af9"/>
            <w:rFonts w:eastAsia="Times New Roman" w:cstheme="minorHAnsi"/>
            <w:b/>
            <w:bCs/>
            <w:sz w:val="24"/>
            <w:szCs w:val="24"/>
            <w:lang w:eastAsia="ru-RU"/>
          </w:rPr>
          <w:t>ЕДИНАЯ ГРАНУЛА</w:t>
        </w:r>
      </w:hyperlink>
      <w:r>
        <w:rPr>
          <w:rFonts w:eastAsia="Times New Roman" w:cstheme="minorHAnsi"/>
          <w:color w:val="1F3864" w:themeColor="accent1" w:themeShade="80"/>
          <w:sz w:val="24"/>
          <w:szCs w:val="24"/>
          <w:lang w:eastAsia="ru-RU"/>
        </w:rPr>
        <w:t xml:space="preserve">. Материал оказывает минимальное воздействие на почву, на изделия из кожи и лапы животных, металлические конструкции за счет введения в состав </w:t>
      </w:r>
      <w:proofErr w:type="spellStart"/>
      <w:r>
        <w:rPr>
          <w:rFonts w:eastAsia="Times New Roman" w:cstheme="minorHAnsi"/>
          <w:color w:val="1F3864" w:themeColor="accent1" w:themeShade="80"/>
          <w:sz w:val="24"/>
          <w:szCs w:val="24"/>
          <w:lang w:eastAsia="ru-RU"/>
        </w:rPr>
        <w:t>биофильных</w:t>
      </w:r>
      <w:proofErr w:type="spellEnd"/>
      <w:r>
        <w:rPr>
          <w:rFonts w:eastAsia="Times New Roman" w:cstheme="minorHAnsi"/>
          <w:color w:val="1F3864" w:themeColor="accent1" w:themeShade="80"/>
          <w:sz w:val="24"/>
          <w:szCs w:val="24"/>
          <w:lang w:eastAsia="ru-RU"/>
        </w:rPr>
        <w:t xml:space="preserve"> добавок и антикоррозионных компонентов. Экологичность BIONORD подтверждается Положительным заключением Государственной экологической экспертизы. </w:t>
      </w:r>
      <w:r>
        <w:rPr>
          <w:rFonts w:cstheme="minorHAnsi"/>
          <w:color w:val="1F3864" w:themeColor="accent1" w:themeShade="80"/>
          <w:sz w:val="24"/>
          <w:szCs w:val="24"/>
        </w:rPr>
        <w:t xml:space="preserve">Поставляется в полиэтиленовом мешке </w:t>
      </w:r>
      <w:r>
        <w:rPr>
          <w:rFonts w:cstheme="minorHAnsi"/>
          <w:b/>
          <w:bCs/>
          <w:color w:val="1F3864" w:themeColor="accent1" w:themeShade="80"/>
          <w:sz w:val="24"/>
          <w:szCs w:val="24"/>
        </w:rPr>
        <w:t>23 кг</w:t>
      </w:r>
      <w:r>
        <w:rPr>
          <w:rFonts w:cstheme="minorHAnsi"/>
          <w:color w:val="1F3864" w:themeColor="accent1" w:themeShade="80"/>
          <w:sz w:val="24"/>
          <w:szCs w:val="24"/>
        </w:rPr>
        <w:t xml:space="preserve">, а также </w:t>
      </w:r>
      <w:r>
        <w:rPr>
          <w:rFonts w:cstheme="minorHAnsi"/>
          <w:b/>
          <w:bCs/>
          <w:color w:val="1F3864" w:themeColor="accent1" w:themeShade="80"/>
          <w:sz w:val="24"/>
          <w:szCs w:val="24"/>
        </w:rPr>
        <w:t>МКР 800 кг</w:t>
      </w:r>
      <w:r>
        <w:rPr>
          <w:rFonts w:cstheme="minorHAnsi"/>
          <w:color w:val="1F3864" w:themeColor="accent1" w:themeShade="80"/>
          <w:sz w:val="24"/>
          <w:szCs w:val="24"/>
        </w:rPr>
        <w:t>.</w:t>
      </w:r>
    </w:p>
    <w:p w14:paraId="57FE6E11" w14:textId="77777777" w:rsidR="009A1A38" w:rsidRDefault="009A1A38">
      <w:pPr>
        <w:shd w:val="clear" w:color="auto" w:fill="FFFFFF"/>
        <w:spacing w:after="0" w:line="240" w:lineRule="auto"/>
        <w:rPr>
          <w:rFonts w:eastAsia="Times New Roman" w:cstheme="minorHAnsi"/>
          <w:color w:val="002060"/>
          <w:sz w:val="24"/>
          <w:szCs w:val="24"/>
          <w:lang w:eastAsia="ru-RU"/>
        </w:rPr>
      </w:pPr>
    </w:p>
    <w:p w14:paraId="56D16A1A" w14:textId="77777777" w:rsidR="009A1A38" w:rsidRDefault="000000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cstheme="minorHAnsi"/>
          <w:b/>
          <w:bCs/>
          <w:color w:val="002060"/>
          <w:sz w:val="24"/>
          <w:szCs w:val="24"/>
        </w:rPr>
        <w:t>Состав:</w:t>
      </w:r>
      <w:r>
        <w:rPr>
          <w:rFonts w:cstheme="minorHAnsi"/>
          <w:color w:val="002060"/>
          <w:sz w:val="24"/>
          <w:szCs w:val="24"/>
        </w:rPr>
        <w:t xml:space="preserve"> </w:t>
      </w:r>
      <w:r>
        <w:rPr>
          <w:rFonts w:eastAsia="Times New Roman" w:cstheme="minorHAnsi"/>
          <w:color w:val="002060"/>
          <w:sz w:val="24"/>
          <w:szCs w:val="24"/>
          <w:lang w:eastAsia="ru-RU"/>
        </w:rPr>
        <w:t xml:space="preserve">смесь хлоридов, антикоррозийные добавки, </w:t>
      </w:r>
      <w:proofErr w:type="spellStart"/>
      <w:r>
        <w:rPr>
          <w:rFonts w:eastAsia="Times New Roman" w:cstheme="minorHAnsi"/>
          <w:color w:val="002060"/>
          <w:sz w:val="24"/>
          <w:szCs w:val="24"/>
          <w:lang w:eastAsia="ru-RU"/>
        </w:rPr>
        <w:t>биофильные</w:t>
      </w:r>
      <w:proofErr w:type="spellEnd"/>
      <w:r>
        <w:rPr>
          <w:rFonts w:eastAsia="Times New Roman" w:cstheme="minorHAnsi"/>
          <w:color w:val="002060"/>
          <w:sz w:val="24"/>
          <w:szCs w:val="24"/>
          <w:lang w:eastAsia="ru-RU"/>
        </w:rPr>
        <w:t xml:space="preserve"> добавки.</w:t>
      </w:r>
    </w:p>
    <w:p w14:paraId="3AE03ED0" w14:textId="77777777" w:rsidR="009A1A38" w:rsidRDefault="00000000">
      <w:pPr>
        <w:spacing w:before="120"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>
        <w:rPr>
          <w:rFonts w:cstheme="minorHAnsi"/>
          <w:b/>
          <w:bCs/>
          <w:color w:val="1F3864" w:themeColor="accent1" w:themeShade="80"/>
          <w:sz w:val="24"/>
          <w:szCs w:val="24"/>
        </w:rPr>
        <w:t>Преимущества:</w:t>
      </w:r>
    </w:p>
    <w:p w14:paraId="47D68375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высокая скорость плавления льда – 20-40 минут с момента обработки; </w:t>
      </w:r>
    </w:p>
    <w:p w14:paraId="0B7E0DCD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экономичность использования – расход материала в 7 раз меньше, чем смеси песка и соли для обработки площади аналогичного размера; </w:t>
      </w:r>
    </w:p>
    <w:p w14:paraId="7DE43355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за счет пролонгированного действия, при постоянных осадках предотвращает повторное образование наледи; </w:t>
      </w:r>
    </w:p>
    <w:p w14:paraId="3692371F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широкий диапазон температурных границ применения – эффективно плавит лед до -30</w:t>
      </w:r>
      <w:r>
        <w:rPr>
          <w:rFonts w:ascii="Cambria Math" w:eastAsia="yu gothic ui semilight" w:hAnsi="Cambria Math" w:cs="Cambria Math"/>
          <w:color w:val="002060"/>
          <w:sz w:val="24"/>
          <w:szCs w:val="24"/>
        </w:rPr>
        <w:t>℃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225961D3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ускоренное выведение из грунта, что снижает негативное влияние на почвы; </w:t>
      </w:r>
    </w:p>
    <w:p w14:paraId="5A0AB304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пониженное коррозионное воздействие на металлические конструкции; </w:t>
      </w:r>
    </w:p>
    <w:p w14:paraId="678298B6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полная растворимость - остатки средства полностью вымываются, не загрязняя ливневую канализацию; </w:t>
      </w:r>
    </w:p>
    <w:p w14:paraId="18296C6A" w14:textId="77777777" w:rsidR="009A1A38" w:rsidRDefault="00000000">
      <w:pPr>
        <w:pStyle w:val="af7"/>
        <w:numPr>
          <w:ilvl w:val="0"/>
          <w:numId w:val="2"/>
        </w:numPr>
        <w:spacing w:before="120" w:after="60" w:line="240" w:lineRule="auto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абсолютно безопасно для плиточных, каменных, бетонных и асфальтобетонных покрытий (при соблюдении инструкции по применению).</w:t>
      </w:r>
    </w:p>
    <w:p w14:paraId="0830E060" w14:textId="77777777" w:rsidR="009A1A38" w:rsidRDefault="009A1A38">
      <w:pPr>
        <w:ind w:left="360"/>
        <w:rPr>
          <w:rFonts w:cstheme="minorHAnsi"/>
          <w:color w:val="002060"/>
          <w:sz w:val="24"/>
          <w:szCs w:val="24"/>
        </w:rPr>
      </w:pPr>
    </w:p>
    <w:p w14:paraId="561C6963" w14:textId="77777777" w:rsidR="009A1A38" w:rsidRDefault="00000000">
      <w:pPr>
        <w:rPr>
          <w:rFonts w:cstheme="minorHAnsi"/>
          <w:color w:val="1F3864" w:themeColor="accent1" w:themeShade="80"/>
          <w:sz w:val="24"/>
          <w:szCs w:val="24"/>
        </w:rPr>
      </w:pPr>
      <w:r>
        <w:rPr>
          <w:rFonts w:cstheme="minorHAnsi"/>
          <w:b/>
          <w:bCs/>
          <w:color w:val="1F3864" w:themeColor="accent1" w:themeShade="80"/>
          <w:sz w:val="24"/>
          <w:szCs w:val="24"/>
        </w:rPr>
        <w:t>Нормы распределения</w:t>
      </w:r>
      <w:r>
        <w:rPr>
          <w:rFonts w:cstheme="minorHAnsi"/>
          <w:color w:val="1F3864" w:themeColor="accent1" w:themeShade="80"/>
          <w:sz w:val="24"/>
          <w:szCs w:val="24"/>
        </w:rPr>
        <w:t xml:space="preserve"> (при толщине льда 1 мм.)</w:t>
      </w:r>
    </w:p>
    <w:tbl>
      <w:tblPr>
        <w:tblStyle w:val="af8"/>
        <w:tblW w:w="10348" w:type="dxa"/>
        <w:tblInd w:w="-714" w:type="dxa"/>
        <w:tblLook w:val="04A0" w:firstRow="1" w:lastRow="0" w:firstColumn="1" w:lastColumn="0" w:noHBand="0" w:noVBand="1"/>
      </w:tblPr>
      <w:tblGrid>
        <w:gridCol w:w="1348"/>
        <w:gridCol w:w="1380"/>
        <w:gridCol w:w="1411"/>
        <w:gridCol w:w="1553"/>
        <w:gridCol w:w="1552"/>
        <w:gridCol w:w="1552"/>
        <w:gridCol w:w="1552"/>
      </w:tblGrid>
      <w:tr w:rsidR="009A1A38" w14:paraId="4ACDA847" w14:textId="77777777">
        <w:tc>
          <w:tcPr>
            <w:tcW w:w="1309" w:type="dxa"/>
            <w:vMerge w:val="restart"/>
          </w:tcPr>
          <w:p w14:paraId="1B03E2BE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Ед. измерения</w:t>
            </w:r>
          </w:p>
        </w:tc>
        <w:tc>
          <w:tcPr>
            <w:tcW w:w="9039" w:type="dxa"/>
            <w:gridSpan w:val="6"/>
          </w:tcPr>
          <w:p w14:paraId="7F1E5C73" w14:textId="77777777" w:rsidR="009A1A38" w:rsidRDefault="00000000">
            <w:pPr>
              <w:tabs>
                <w:tab w:val="left" w:pos="1620"/>
              </w:tabs>
              <w:jc w:val="center"/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Расход реагента при температуре окружающей среды, 0С</w:t>
            </w:r>
          </w:p>
        </w:tc>
      </w:tr>
      <w:tr w:rsidR="009A1A38" w14:paraId="76E37564" w14:textId="77777777">
        <w:tc>
          <w:tcPr>
            <w:tcW w:w="1309" w:type="dxa"/>
            <w:vMerge/>
          </w:tcPr>
          <w:p w14:paraId="4EBD996A" w14:textId="77777777" w:rsidR="009A1A38" w:rsidRDefault="009A1A38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AB34761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от -0 до -5</w:t>
            </w:r>
          </w:p>
        </w:tc>
        <w:tc>
          <w:tcPr>
            <w:tcW w:w="1417" w:type="dxa"/>
          </w:tcPr>
          <w:p w14:paraId="2AC64635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от -5 до -10</w:t>
            </w:r>
          </w:p>
        </w:tc>
        <w:tc>
          <w:tcPr>
            <w:tcW w:w="1560" w:type="dxa"/>
          </w:tcPr>
          <w:p w14:paraId="13801D4C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от -10 до -15</w:t>
            </w:r>
          </w:p>
        </w:tc>
        <w:tc>
          <w:tcPr>
            <w:tcW w:w="1559" w:type="dxa"/>
          </w:tcPr>
          <w:p w14:paraId="34F0AF5F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от -15 до -20</w:t>
            </w:r>
          </w:p>
        </w:tc>
        <w:tc>
          <w:tcPr>
            <w:tcW w:w="1559" w:type="dxa"/>
          </w:tcPr>
          <w:p w14:paraId="1084A349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от -20 до 25</w:t>
            </w:r>
          </w:p>
        </w:tc>
        <w:tc>
          <w:tcPr>
            <w:tcW w:w="1559" w:type="dxa"/>
          </w:tcPr>
          <w:p w14:paraId="4B78DDD8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от -25 до -30</w:t>
            </w:r>
          </w:p>
        </w:tc>
      </w:tr>
      <w:tr w:rsidR="009A1A38" w14:paraId="0715A548" w14:textId="77777777">
        <w:trPr>
          <w:trHeight w:val="198"/>
        </w:trPr>
        <w:tc>
          <w:tcPr>
            <w:tcW w:w="1309" w:type="dxa"/>
          </w:tcPr>
          <w:p w14:paraId="0F1B79F0" w14:textId="77777777" w:rsidR="009A1A38" w:rsidRDefault="00000000">
            <w:pPr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г/м2</w:t>
            </w:r>
          </w:p>
        </w:tc>
        <w:tc>
          <w:tcPr>
            <w:tcW w:w="1385" w:type="dxa"/>
          </w:tcPr>
          <w:p w14:paraId="2C21A25D" w14:textId="77777777" w:rsidR="009A1A38" w:rsidRDefault="00000000">
            <w:pPr>
              <w:jc w:val="center"/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15E89C7" w14:textId="77777777" w:rsidR="009A1A38" w:rsidRDefault="00000000">
            <w:pPr>
              <w:jc w:val="center"/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14:paraId="42D84F6A" w14:textId="77777777" w:rsidR="009A1A38" w:rsidRDefault="00000000">
            <w:pPr>
              <w:jc w:val="center"/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7F6B7137" w14:textId="77777777" w:rsidR="009A1A38" w:rsidRDefault="00000000">
            <w:pPr>
              <w:jc w:val="center"/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57E357C5" w14:textId="77777777" w:rsidR="009A1A38" w:rsidRDefault="00000000">
            <w:pPr>
              <w:jc w:val="center"/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47AB0618" w14:textId="77777777" w:rsidR="009A1A38" w:rsidRDefault="00000000">
            <w:pPr>
              <w:jc w:val="center"/>
              <w:rPr>
                <w:rFonts w:cstheme="minorHAnsi"/>
                <w:color w:val="1F3864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1F3864" w:themeColor="accent1" w:themeShade="80"/>
                <w:sz w:val="24"/>
                <w:szCs w:val="24"/>
              </w:rPr>
              <w:t>75</w:t>
            </w:r>
          </w:p>
        </w:tc>
      </w:tr>
    </w:tbl>
    <w:p w14:paraId="64727779" w14:textId="77777777" w:rsidR="009A1A38" w:rsidRDefault="00000000">
      <w:pPr>
        <w:rPr>
          <w:rFonts w:cstheme="minorHAnsi"/>
          <w:color w:val="1F3864" w:themeColor="accent1" w:themeShade="80"/>
          <w:sz w:val="24"/>
          <w:szCs w:val="24"/>
        </w:rPr>
      </w:pPr>
      <w:r>
        <w:rPr>
          <w:rFonts w:cstheme="minorHAnsi"/>
          <w:color w:val="1F3864" w:themeColor="accent1" w:themeShade="80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1F3864" w:themeColor="accent1" w:themeShade="80"/>
          <w:sz w:val="24"/>
          <w:szCs w:val="24"/>
        </w:rPr>
        <w:t>В случае крайне низких температур (ниже -20) норма распределения может быть увеличена до 150 г/м2.</w:t>
      </w:r>
    </w:p>
    <w:p w14:paraId="165E3F44" w14:textId="77777777" w:rsidR="009A1A38" w:rsidRDefault="00000000">
      <w:pPr>
        <w:rPr>
          <w:rStyle w:val="af9"/>
          <w:rFonts w:cstheme="minorHAnsi"/>
          <w:sz w:val="24"/>
          <w:szCs w:val="24"/>
        </w:rPr>
      </w:pPr>
      <w:r>
        <w:rPr>
          <w:rFonts w:ascii="Calibri" w:eastAsia="Calibri" w:hAnsi="Calibri" w:cs="Calibri"/>
          <w:color w:val="1F3864" w:themeColor="accent1" w:themeShade="80"/>
          <w:lang w:eastAsia="ru-RU" w:bidi="ru-RU"/>
        </w:rPr>
        <w:fldChar w:fldCharType="begin"/>
      </w:r>
      <w:r>
        <w:rPr>
          <w:rFonts w:ascii="Calibri" w:eastAsia="Calibri" w:hAnsi="Calibri" w:cs="Calibri"/>
          <w:color w:val="1F3864" w:themeColor="accent1" w:themeShade="80"/>
          <w:lang w:eastAsia="ru-RU" w:bidi="ru-RU"/>
        </w:rPr>
        <w:instrText>HYPERLINK "https://uzpm.ru/company/"</w:instrText>
      </w:r>
      <w:r>
        <w:rPr>
          <w:rFonts w:ascii="Calibri" w:eastAsia="Calibri" w:hAnsi="Calibri" w:cs="Calibri"/>
          <w:color w:val="1F3864" w:themeColor="accent1" w:themeShade="80"/>
          <w:lang w:eastAsia="ru-RU" w:bidi="ru-RU"/>
        </w:rPr>
      </w:r>
      <w:r>
        <w:rPr>
          <w:rFonts w:ascii="Calibri" w:eastAsia="Calibri" w:hAnsi="Calibri" w:cs="Calibri"/>
          <w:color w:val="1F3864" w:themeColor="accent1" w:themeShade="80"/>
          <w:lang w:eastAsia="ru-RU" w:bidi="ru-RU"/>
        </w:rPr>
        <w:fldChar w:fldCharType="separate"/>
      </w:r>
    </w:p>
    <w:p w14:paraId="38ADD32B" w14:textId="77777777" w:rsidR="009A1A38" w:rsidRDefault="00000000">
      <w:pPr>
        <w:pStyle w:val="2"/>
        <w:ind w:left="0"/>
        <w:rPr>
          <w:color w:val="1F3864" w:themeColor="accent1" w:themeShade="80"/>
        </w:rPr>
      </w:pPr>
      <w:r>
        <w:rPr>
          <w:rStyle w:val="af9"/>
          <w:color w:val="023160" w:themeColor="hyperlink" w:themeShade="80"/>
        </w:rPr>
        <w:t>ПРОИЗВОДИТЕЛЬ: ООО «Уральский завод противогололедных материалов»</w:t>
      </w:r>
      <w:r>
        <w:rPr>
          <w:color w:val="1F3864" w:themeColor="accent1" w:themeShade="80"/>
        </w:rPr>
        <w:fldChar w:fldCharType="end"/>
      </w:r>
      <w:r>
        <w:rPr>
          <w:color w:val="1F3864" w:themeColor="accent1" w:themeShade="80"/>
        </w:rPr>
        <w:t xml:space="preserve"> </w:t>
      </w:r>
    </w:p>
    <w:p w14:paraId="7F8AECB0" w14:textId="77777777" w:rsidR="009A1A38" w:rsidRDefault="009A1A38">
      <w:pPr>
        <w:rPr>
          <w:rFonts w:cstheme="minorHAnsi"/>
          <w:color w:val="1F3864" w:themeColor="accent1" w:themeShade="80"/>
          <w:sz w:val="24"/>
          <w:szCs w:val="24"/>
        </w:rPr>
      </w:pPr>
    </w:p>
    <w:sectPr w:rsidR="009A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5E6C" w14:textId="77777777" w:rsidR="00D93EBD" w:rsidRDefault="00D93EBD">
      <w:pPr>
        <w:spacing w:after="0" w:line="240" w:lineRule="auto"/>
      </w:pPr>
      <w:r>
        <w:separator/>
      </w:r>
    </w:p>
  </w:endnote>
  <w:endnote w:type="continuationSeparator" w:id="0">
    <w:p w14:paraId="1B75D888" w14:textId="77777777" w:rsidR="00D93EBD" w:rsidRDefault="00D9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FEEF" w14:textId="77777777" w:rsidR="00D93EBD" w:rsidRDefault="00D93EBD">
      <w:pPr>
        <w:spacing w:after="0" w:line="240" w:lineRule="auto"/>
      </w:pPr>
      <w:r>
        <w:separator/>
      </w:r>
    </w:p>
  </w:footnote>
  <w:footnote w:type="continuationSeparator" w:id="0">
    <w:p w14:paraId="61B04EC5" w14:textId="77777777" w:rsidR="00D93EBD" w:rsidRDefault="00D9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A85"/>
    <w:multiLevelType w:val="hybridMultilevel"/>
    <w:tmpl w:val="4308204C"/>
    <w:lvl w:ilvl="0" w:tplc="4FE0D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CA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4F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4CA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22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A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2B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47ADB"/>
    <w:multiLevelType w:val="hybridMultilevel"/>
    <w:tmpl w:val="09740264"/>
    <w:lvl w:ilvl="0" w:tplc="1F2E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4D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2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43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82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4C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8C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49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925882">
    <w:abstractNumId w:val="1"/>
  </w:num>
  <w:num w:numId="2" w16cid:durableId="59436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38"/>
    <w:rsid w:val="00165B9C"/>
    <w:rsid w:val="009A1A38"/>
    <w:rsid w:val="00AA045E"/>
    <w:rsid w:val="00D9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2963"/>
  <w15:docId w15:val="{76C99298-4B92-4CF9-938D-2E18E1EE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spacing w:after="0" w:line="240" w:lineRule="auto"/>
      <w:ind w:left="113"/>
      <w:outlineLvl w:val="1"/>
    </w:pPr>
    <w:rPr>
      <w:rFonts w:ascii="Calibri" w:eastAsia="Calibri" w:hAnsi="Calibri" w:cs="Calibri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pm.ru/single-granu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Fedina</dc:creator>
  <cp:keywords/>
  <dc:description/>
  <cp:lastModifiedBy>Замахаева Юлия Дмитриевна</cp:lastModifiedBy>
  <cp:revision>9</cp:revision>
  <dcterms:created xsi:type="dcterms:W3CDTF">2021-07-20T06:32:00Z</dcterms:created>
  <dcterms:modified xsi:type="dcterms:W3CDTF">2025-09-30T03:38:00Z</dcterms:modified>
</cp:coreProperties>
</file>